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right"/>
      </w:pPr>
      <w:r>
        <w:rPr>
          <w:b/>
          <w:bCs/>
          <w:sz w:val="32"/>
          <w:szCs w:val="32"/>
          <w:rtl/>
        </w:rPr>
        <w:t xml:space="preserve">سجلّ القرارات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الجهة: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اللجنة أو المجلس: ____________________</w:t>
      </w:r>
    </w:p>
    <w:p>
      <w:pPr>
        <w:bidi/>
        <w:jc w:val="right"/>
      </w:pPr>
      <w:r>
        <w:rPr>
          <w:sz w:val="22"/>
          <w:szCs w:val="22"/>
          <w:rtl/>
        </w:rPr>
        <w:t xml:space="preserve">الفترة التي يغطّيها السجلّ: ____________________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كيف يُكتب القرار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نصٌّ مكتمل يُفهم بلا الرجوع إلى المحضر: ماذا تقرّر ولمن ومن أي تاريخ.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أساسٌ مذكور: على أي مقترح أو مستند أو نقاش بُني القرار.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حالةٌ صريحة: ساري · مُعدَّل بقرار لاحق · مُلغى.</w:t>
      </w:r>
    </w:p>
    <w:p>
      <w:pPr>
        <w:bidi/>
        <w:jc w:val="right"/>
      </w:pPr>
      <w:r>
        <w:rPr>
          <w:sz w:val="22"/>
          <w:szCs w:val="22"/>
          <w:rtl/>
        </w:rPr>
        <w:t xml:space="preserve">• ورقمٌ لا يُعاد استعماله ولو أُلغي القرار — الترقيم سجلٌّ لا ترتيب.</w:t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السجلّ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رقم القرار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التاريخ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الاجتماع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نصّ القرار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الأساس</w:t>
            </w:r>
          </w:p>
        </w:tc>
        <w:tc>
          <w:tcPr>
            <w:tcW w:w="150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الحالة</w:t>
            </w: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  <w:tr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  <w:tc>
          <w:tcPr>
            <w:tcW w:w="150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p>
      <w:pPr>
        <w:bidi/>
        <w:jc w:val="right"/>
      </w:pPr>
      <w:r>
        <w:rPr>
          <w:b/>
          <w:bCs/>
          <w:sz w:val="26"/>
          <w:szCs w:val="26"/>
          <w:rtl/>
        </w:rPr>
        <w:t xml:space="preserve">القرارات المعدَّلة أو الملغاة</w:t>
      </w:r>
    </w:p>
    <w:tbl>
      <w:tblPr>
        <w:bidiVisual/>
        <w:tblW w:w="9000" w:type="dxa"/>
        <w:tblBorders>
          <w:top w:val="single" w:sz="4" w:color="D0D7DE"/>
          <w:left w:val="single" w:sz="4" w:color="D0D7DE"/>
          <w:bottom w:val="single" w:sz="4" w:color="D0D7DE"/>
          <w:right w:val="single" w:sz="4" w:color="D0D7DE"/>
          <w:insideH w:val="single" w:sz="4" w:color="D0D7DE"/>
          <w:insideV w:val="single" w:sz="4" w:color="D0D7DE"/>
        </w:tblBorders>
      </w:tblPr>
      <w:tr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القرار الأصلي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ما جرى عليه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بقرار رقم</w:t>
            </w:r>
          </w:p>
        </w:tc>
        <w:tc>
          <w:tcPr>
            <w:tcW w:w="2250" w:type="dxa"/>
            <w:shd w:val="clear" w:fill="F2F6F8"/>
          </w:tcPr>
          <w:p>
            <w:pPr>
              <w:bidi/>
              <w:jc w:val="right"/>
            </w:pPr>
            <w:r>
              <w:rPr>
                <w:b/>
                <w:bCs/>
                <w:sz w:val="22"/>
                <w:szCs w:val="22"/>
                <w:rtl/>
              </w:rPr>
              <w:t xml:space="preserve">التاريخ</w:t>
            </w: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  <w:tr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  <w:tc>
          <w:tcPr>
            <w:tcW w:w="2250" w:type="dxa"/>
          </w:tcPr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sz w:val="22"/>
          <w:szCs w:val="22"/>
          <w:rtl/>
        </w:rPr>
        <w:t xml:space="preserve"/>
      </w:r>
    </w:p>
    <w:sectPr>
      <w:bidi/>
      <w:pgSz w:w="11906" w:h="16838"/>
      <w:pgMar w:top="1134" w:right="1134" w:bottom="1134" w:left="1134"/>
    </w:sectPr>
  </w:body>
</w:document>
</file>